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rFonts w:ascii="Arial Unicode MS" w:hAnsi="Arial Unicode MS"/>
          <w:spacing w:val="-10"/>
          <w:kern w:val="28"/>
          <w:sz w:val="40"/>
        </w:rPr>
        <w:t>Kleemann │ Bağlı PRO birleştirilmiş tesisi Karayipler'de ikna edici</w:t>
      </w:r>
    </w:p>
    <w:p w14:paraId="3DB067B3" w14:textId="15701C01" w:rsidR="0072059E" w:rsidRPr="00955892" w:rsidRDefault="0072059E" w:rsidP="00AF2A24">
      <w:pPr>
        <w:pStyle w:val="Teaser"/>
        <w:rPr>
          <w:rFonts w:eastAsiaTheme="majorEastAsia" w:cstheme="majorBidi"/>
          <w:iCs/>
          <w:szCs w:val="22"/>
        </w:rPr>
      </w:pPr>
      <w:r>
        <w:rPr>
          <w:rFonts w:ascii="Arial Unicode MS" w:eastAsiaTheme="majorEastAsia" w:hAnsi="Arial Unicode MS" w:cstheme="majorBidi"/>
        </w:rPr>
        <w:t xml:space="preserve">Asfalt üretimi için son ürünleri elde etmek amacıyla Trinidad &amp; Tobago ada devletinde Kleemann'ın bir PRO birleştirilmiş tesisi kullanılıyor: MOBICAT MC 120 Z PRO mobil çeneli kırıcı ve MOBICONE MCO 11 PRO mobil konik kırıcı. MOBISCREEN MS 953 EVO mobil elek kireç taşı-taş kırmada süreci tamamlıyor. </w:t>
      </w:r>
    </w:p>
    <w:p w14:paraId="7C0E932A" w14:textId="44C2A664" w:rsidR="0072059E" w:rsidRPr="00700B3F" w:rsidRDefault="0072059E" w:rsidP="0072059E">
      <w:pPr>
        <w:pStyle w:val="Standardabsatz"/>
        <w:rPr>
          <w:bCs/>
        </w:rPr>
      </w:pPr>
      <w:r>
        <w:rPr>
          <w:rFonts w:ascii="Arial Unicode MS" w:hAnsi="Arial Unicode MS"/>
        </w:rPr>
        <w:t>Son ürünün iyi kalitede olması ve münferit makinelerin bir birleştirilmiş tesis oluşturacak şekilde kolayca bağlanması, tesis teknolojisinin seçiminde belirleyici kriterler olmuştur. Kleemann'ın PRO birleştirilmiş tesis ile makinelerin karmaşık olmayan bağlantısı ve koordineli, otomatik süreç çalışmayı kolaylaştırır.</w:t>
      </w:r>
    </w:p>
    <w:p w14:paraId="2AE21E23" w14:textId="4A53E01E" w:rsidR="00AF2A24" w:rsidRPr="00793E43" w:rsidRDefault="001C7AE5" w:rsidP="00717074">
      <w:pPr>
        <w:pStyle w:val="Absatzberschrift"/>
      </w:pPr>
      <w:r>
        <w:rPr>
          <w:rFonts w:ascii="Arial Unicode MS" w:hAnsi="Arial Unicode MS"/>
        </w:rPr>
        <w:t>Hat bağlantısı sayesinde kullanılabilirlik ve performans iki katına çıktı</w:t>
      </w:r>
    </w:p>
    <w:p w14:paraId="376915E4" w14:textId="7DFA3742" w:rsidR="00C146B1" w:rsidRDefault="0072059E" w:rsidP="00CF5C63">
      <w:pPr>
        <w:pStyle w:val="Absatzberschrift"/>
        <w:jc w:val="both"/>
        <w:rPr>
          <w:b w:val="0"/>
        </w:rPr>
      </w:pPr>
      <w:r>
        <w:rPr>
          <w:rFonts w:ascii="Arial Unicode MS" w:hAnsi="Arial Unicode MS"/>
          <w:b w:val="0"/>
        </w:rPr>
        <w:t xml:space="preserve">Birleştirilmiş tesis, teknik proseslerle birbirine bağlı üç makineden oluşur. Otomatik ayarlama sayesinde operatörler rahatlar, süreç uyumlu hale gelir ve böylece rijit olur. Her makine temelde kendi başına çalışır, ancak arıza veya çok fazla besleme malzemesi dolayısıyla aşırı dolum durumunda öne ve arkaya bağlı makinelere sinyal gönderir. Continuous Feed System Sürekli Besleme Sistemi (CFS) besleme kontrolü de kırıcıların optimum şekilde kullanılmasını sağlar ve böylece kırıcılar eşit miktarda malzeme ile beslenir. Buna ek olarak, tüm makinelerin birbirine bağlanması güvenliği sağlar: birleştirilmiş tesis içinde bir acil durdurma düğmesine basılırsa, tüm tesisler derhal durur. Bu konsept ile hasar veya aşırı yük durumları önlenebilir.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rFonts w:ascii="Arial Unicode MS" w:hAnsi="Arial Unicode MS"/>
          <w:b w:val="0"/>
        </w:rPr>
        <w:t>Trinidad &amp; Tobago projesinde şirket, hat bağlantısı yardımıyla taş kırmada daha önce kullanılan tesislerin kullanılabilirliğini ve performansını iki katına çıkarmayı başardı.</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rFonts w:ascii="Arial Unicode MS" w:hAnsi="Arial Unicode MS"/>
          <w:b w:val="0"/>
        </w:rPr>
        <w:t>Personel dağıtımı da daha verimli hale geliyor. Normalde tesis başına bir operatör ve ekskavatör operatörü kullanılır. Hat bağlantısı sayesinde tüm süreç artık dört yerine iki operatör tarafından kontrol edilebiliyor. Böylece diğer iki çalışan, malzeme tedariki veya taş kırmada lojistik gibi diğer görevleri paralel olarak üstlenebilir.</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rPr>
          <w:rFonts w:ascii="Arial Unicode MS" w:hAnsi="Arial Unicode MS"/>
        </w:rPr>
        <w:t>Sezgisel kullanım – Özel koşullar altında</w:t>
      </w:r>
    </w:p>
    <w:p w14:paraId="69337360" w14:textId="7D8F1DF2" w:rsidR="0072059E" w:rsidRDefault="0072059E" w:rsidP="00CF5C63">
      <w:pPr>
        <w:pStyle w:val="Standardabsatz"/>
      </w:pPr>
      <w:r>
        <w:rPr>
          <w:rFonts w:ascii="Arial Unicode MS" w:hAnsi="Arial Unicode MS"/>
        </w:rPr>
        <w:t xml:space="preserve">Yeni tesislerin Eylül 2020'de teslim edilmesinden sonra proje, küresel Covid-19 pandemisi nedeniyle özel bir zorlukla karşı karşıya kaldı: Birleştirilmiş tesisin yerinde destek olmadan çevrimiçi olarak devreye alınması gerekiyordu. Bu olumsuzluklara rağmen ne kadar iyi çalıştığı bir yılın ardından artık açıkça görülüyor: önemli bir sorun yaşanmadı ve makineler ile kırma aletlerinde </w:t>
      </w:r>
      <w:r>
        <w:rPr>
          <w:rFonts w:ascii="Arial Unicode MS" w:hAnsi="Arial Unicode MS"/>
        </w:rPr>
        <w:lastRenderedPageBreak/>
        <w:t xml:space="preserve">neredeyse hiç aşınma görülmedi. Bileşenlerin uzun hizmet ömrü, bir yandan daha az aşındırıcı malzemeden, diğer yandan çok iyi ayarlanmış bir işlemden ve dolayısıyla optimum malzeme akışından kaynaklanmaktadır. </w:t>
      </w:r>
    </w:p>
    <w:p w14:paraId="44FF278B" w14:textId="6FAD5F71" w:rsidR="00AF2A24" w:rsidRPr="00827719" w:rsidRDefault="0072059E" w:rsidP="00CF5C63">
      <w:pPr>
        <w:pStyle w:val="Standardabsatz"/>
      </w:pPr>
      <w:r>
        <w:rPr>
          <w:rFonts w:ascii="Arial Unicode MS" w:hAnsi="Arial Unicode MS"/>
        </w:rPr>
        <w:t xml:space="preserve">SPECTIVE işletim sistemi de kullanımı basit ve sezgisel olduğu için sorunsuz girişe katkıda bulunmuştur. Görsel ekran ve mantıklı kullanıcı yönlendirmesi, hatalara neredeyse hiç izin vermez. Basit kullanımı sayesinde, birkaç çalışan aynı anda SPECTIVE'de eğitilebilir. Böylece, en başından itibaren tesisle çalışma konusunda yüksek derecede esneklik sağlandı. </w:t>
      </w:r>
    </w:p>
    <w:p w14:paraId="639D0707" w14:textId="6D37A28E" w:rsidR="0072059E" w:rsidRPr="0072059E" w:rsidRDefault="0072059E" w:rsidP="00717074">
      <w:pPr>
        <w:pStyle w:val="Absatzberschrift"/>
      </w:pPr>
      <w:r>
        <w:rPr>
          <w:rFonts w:ascii="Arial Unicode MS" w:hAnsi="Arial Unicode MS"/>
        </w:rPr>
        <w:t>Kolay bakım ve onarım</w:t>
      </w:r>
    </w:p>
    <w:p w14:paraId="7522F20C" w14:textId="037FD104" w:rsidR="00936642" w:rsidRDefault="0072059E" w:rsidP="00CF5C63">
      <w:pPr>
        <w:pStyle w:val="Absatzberschrift"/>
        <w:jc w:val="both"/>
        <w:rPr>
          <w:b w:val="0"/>
        </w:rPr>
      </w:pPr>
      <w:r>
        <w:rPr>
          <w:rFonts w:ascii="Arial Unicode MS" w:hAnsi="Arial Unicode MS"/>
          <w:b w:val="0"/>
        </w:rPr>
        <w:t xml:space="preserve">Bakım için, kırma ve elek tesislerinin bileşenlerine ulaşmanın çok kolay olması bir avantajdır. Önemli bir sökme işlemi gerektirmeden tüm noktalara kolayca erişilebilir. Bu, birleştirilmiş tesisin düzenli bakımını kolaylaştırır. MOBISCREEN MS 953 EVO elek tesisindeki kolay elek yüzeyi değişimi de sorunsuz çalışmaya katkıda bulunur. "Her şeyden önce, pratik çözümler bulma konusundaki istekliliklerine değer veriyoruz. Wirtgen Group'un diğer markalarının iyi işbirliğine de aşinayız" diyor Jusamco Ltd'nin sorumlu proje müdürü Kyle Parsons. Buna ek olarak, profesyonel destek ve parça tedariğinin yerel irtibat kişisi aracılığıyla her zaman mevcut olduğu kesindir. </w:t>
      </w:r>
    </w:p>
    <w:p w14:paraId="585940EA" w14:textId="77777777" w:rsidR="00936642" w:rsidRDefault="0072059E" w:rsidP="00936642">
      <w:pPr>
        <w:pStyle w:val="Standardabsatz"/>
        <w:jc w:val="left"/>
      </w:pPr>
      <w:r>
        <w:rPr>
          <w:rFonts w:ascii="Arial Unicode MS" w:hAnsi="Arial Unicode MS"/>
          <w:b/>
        </w:rPr>
        <w:t>Bilgi</w:t>
      </w:r>
      <w:r>
        <w:rPr>
          <w:rFonts w:ascii="Arial Unicode MS" w:hAnsi="Arial Unicode MS"/>
        </w:rPr>
        <w:t>:</w:t>
      </w:r>
    </w:p>
    <w:p w14:paraId="1E71EB85" w14:textId="490B5672" w:rsidR="007B0E60" w:rsidRDefault="0072059E" w:rsidP="00BD5607">
      <w:pPr>
        <w:pStyle w:val="Standardabsatz"/>
        <w:jc w:val="left"/>
      </w:pPr>
      <w:r>
        <w:rPr>
          <w:rFonts w:ascii="Arial Unicode MS" w:hAnsi="Arial Unicode MS"/>
        </w:rPr>
        <w:t>Besleme malzemesi: Kırılmış kireç taşı</w:t>
      </w:r>
      <w:r>
        <w:rPr>
          <w:rFonts w:ascii="Arial Unicode MS" w:hAnsi="Arial Unicode MS"/>
        </w:rPr>
        <w:br/>
        <w:t>Besleme ebadı: 0 – 400 mm</w:t>
      </w:r>
      <w:r>
        <w:rPr>
          <w:rFonts w:ascii="Arial Unicode MS" w:hAnsi="Arial Unicode MS"/>
        </w:rPr>
        <w:br/>
        <w:t>Son ürün: 0 – 7 mm | 7 – 16 mm | 16 – 19 mm</w:t>
      </w:r>
      <w:r>
        <w:rPr>
          <w:rFonts w:ascii="Arial Unicode MS" w:hAnsi="Arial Unicode MS"/>
        </w:rPr>
        <w:br/>
        <w:t>Kullanım: Asfalt üretimi için agregalar</w:t>
      </w:r>
      <w:r>
        <w:rPr>
          <w:rFonts w:ascii="Arial Unicode MS" w:hAnsi="Arial Unicode MS"/>
        </w:rPr>
        <w:br/>
      </w:r>
    </w:p>
    <w:p w14:paraId="64ABBB85" w14:textId="024AAF51" w:rsidR="007C2FEE" w:rsidRPr="00AF2A24" w:rsidRDefault="007C2FEE" w:rsidP="00BC487A">
      <w:pPr>
        <w:rPr>
          <w:b/>
          <w:bCs/>
          <w:sz w:val="22"/>
          <w:szCs w:val="22"/>
        </w:rPr>
      </w:pPr>
      <w:r>
        <w:rPr>
          <w:rFonts w:ascii="Arial Unicode MS" w:eastAsia="Arial Unicode MS" w:hAnsi="Arial Unicode MS" w:cs="Arial Unicode MS"/>
          <w:b/>
          <w:sz w:val="22"/>
        </w:rPr>
        <w:t>Fotoğraflar:</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rFonts w:ascii="Arial Unicode MS" w:hAnsi="Arial Unicode MS"/>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r>
        <w:rPr>
          <w:rFonts w:ascii="Arial Unicode MS" w:hAnsi="Arial Unicode MS"/>
        </w:rPr>
        <w:t xml:space="preserve">KL_Jusamco_Trinidad </w:t>
      </w:r>
    </w:p>
    <w:p w14:paraId="10AF8B22" w14:textId="0AB8C5A9" w:rsidR="000D357E" w:rsidRPr="00F724D5" w:rsidRDefault="0072059E" w:rsidP="00FF5F5E">
      <w:pPr>
        <w:pStyle w:val="BUnormal"/>
      </w:pPr>
      <w:r>
        <w:rPr>
          <w:rFonts w:ascii="Arial Unicode MS" w:hAnsi="Arial Unicode MS"/>
          <w:color w:val="auto"/>
        </w:rPr>
        <w:t>Trinidad'daki Jusamco'nun birleştirilmiş tesisi: Çeneli kırıcı  MOBICAT MC 120 Z PRO ve konik kırıcı  MOBICONE MCO 11 PRO temel unsurlardır. Elek tesisi MOBISCREEN MS 953 EVO tüm süreci tamamlar</w:t>
      </w:r>
    </w:p>
    <w:p w14:paraId="6D829B46" w14:textId="0F997D08" w:rsidR="00F724D5" w:rsidRPr="007B0E60" w:rsidRDefault="00955892" w:rsidP="00F724D5">
      <w:pPr>
        <w:pStyle w:val="BUbold"/>
      </w:pPr>
      <w:r>
        <w:rPr>
          <w:rFonts w:ascii="Arial Unicode MS" w:hAnsi="Arial Unicode MS"/>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rPr>
          <w:rFonts w:ascii="Arial Unicode MS" w:hAnsi="Arial Unicode MS"/>
        </w:rPr>
        <w:t>KL_Jusamco_Trinidad_1</w:t>
      </w:r>
      <w:r>
        <w:rPr>
          <w:rFonts w:ascii="Arial Unicode MS" w:hAnsi="Arial Unicode MS"/>
        </w:rPr>
        <w:br/>
      </w:r>
      <w:r>
        <w:rPr>
          <w:rFonts w:ascii="Arial Unicode MS" w:hAnsi="Arial Unicode MS"/>
          <w:b w:val="0"/>
        </w:rPr>
        <w:t>Bağlı Kleemann PRO birleştirilmiş tesis kireç taşında etkileyicidir.</w:t>
      </w:r>
    </w:p>
    <w:p w14:paraId="67E83AFA" w14:textId="78DCACE4" w:rsidR="00980313" w:rsidRDefault="00714D6B" w:rsidP="00A96B2E">
      <w:pPr>
        <w:pStyle w:val="Note"/>
        <w:rPr>
          <w:lang w:eastAsia="de-DE"/>
        </w:rPr>
      </w:pPr>
      <w:r>
        <w:rPr>
          <w:rFonts w:ascii="Arial Unicode MS" w:hAnsi="Arial Unicode MS"/>
        </w:rPr>
        <w:t>Uyarı: Bu fotoğraflar yalnızca önizleme amaçlıdır. Yayınlarda çıktı almak için lütfen ekteki indirme dosyasında bulunan 300 dpi çözünürlükteki fotoğrafları kullanın.</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rPr>
          <w:rFonts w:ascii="Arial Unicode MS" w:hAnsi="Arial Unicode MS"/>
        </w:rPr>
        <w:t>Daha fazla bilgi için: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rFonts w:ascii="Arial Unicode MS" w:hAnsi="Arial Unicode MS"/>
          <w:b w:val="0"/>
        </w:rPr>
        <w:t>WIRTGEN GROUP</w:t>
      </w:r>
    </w:p>
    <w:p w14:paraId="392C6846" w14:textId="77777777" w:rsidR="00B409DF" w:rsidRDefault="00B409DF" w:rsidP="00B409DF">
      <w:pPr>
        <w:pStyle w:val="Fuzeile1"/>
      </w:pPr>
      <w:r>
        <w:rPr>
          <w:rFonts w:ascii="Arial Unicode MS" w:hAnsi="Arial Unicode MS"/>
        </w:rPr>
        <w:t>Halkla İlişkiler</w:t>
      </w:r>
    </w:p>
    <w:p w14:paraId="77A90FFB" w14:textId="77777777" w:rsidR="00B409DF" w:rsidRDefault="00B409DF" w:rsidP="00B409DF">
      <w:pPr>
        <w:pStyle w:val="Fuzeile1"/>
      </w:pPr>
      <w:r>
        <w:rPr>
          <w:rFonts w:ascii="Arial Unicode MS" w:hAnsi="Arial Unicode MS"/>
        </w:rPr>
        <w:t>Reinhard-Wirtgen-Straße 2</w:t>
      </w:r>
    </w:p>
    <w:p w14:paraId="2BD7061F" w14:textId="77777777" w:rsidR="00B409DF" w:rsidRDefault="00B409DF" w:rsidP="00B409DF">
      <w:pPr>
        <w:pStyle w:val="Fuzeile1"/>
      </w:pPr>
      <w:r>
        <w:rPr>
          <w:rFonts w:ascii="Arial Unicode MS" w:hAnsi="Arial Unicode MS"/>
        </w:rPr>
        <w:t>53578 Windhagen</w:t>
      </w:r>
    </w:p>
    <w:p w14:paraId="7312A980" w14:textId="77777777" w:rsidR="00B409DF" w:rsidRDefault="00B409DF" w:rsidP="00B409DF">
      <w:pPr>
        <w:pStyle w:val="Fuzeile1"/>
      </w:pPr>
      <w:r>
        <w:rPr>
          <w:rFonts w:ascii="Arial Unicode MS" w:hAnsi="Arial Unicode MS"/>
        </w:rPr>
        <w:t>Almanya</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rPr>
          <w:rFonts w:ascii="Arial Unicode MS" w:hAnsi="Arial Unicode MS"/>
        </w:rPr>
        <w:t xml:space="preserve">Telefon: +49 (0) 2645 131 – 1966 </w:t>
      </w:r>
    </w:p>
    <w:p w14:paraId="72EBA31D" w14:textId="77777777" w:rsidR="00B409DF" w:rsidRDefault="00B409DF" w:rsidP="00B409DF">
      <w:pPr>
        <w:pStyle w:val="Fuzeile1"/>
      </w:pPr>
      <w:r>
        <w:rPr>
          <w:rFonts w:ascii="Arial Unicode MS" w:hAnsi="Arial Unicode MS"/>
        </w:rPr>
        <w:t>Faks: +49 (0) 2645 131 – 499</w:t>
      </w:r>
    </w:p>
    <w:p w14:paraId="54DD8925" w14:textId="4CADBFA8" w:rsidR="00B409DF" w:rsidRDefault="00B409DF" w:rsidP="00B409DF">
      <w:pPr>
        <w:pStyle w:val="Fuzeile1"/>
      </w:pPr>
      <w:r>
        <w:rPr>
          <w:rFonts w:ascii="Arial Unicode MS" w:hAnsi="Arial Unicode MS"/>
        </w:rPr>
        <w:t>E-posta: PR@wirtgen-group.com</w:t>
      </w:r>
      <w:r>
        <w:rPr>
          <w:rFonts w:ascii="Arial Unicode MS" w:hAnsi="Arial Unicode MS"/>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rFonts w:ascii="Arial Unicode MS" w:hAnsi="Arial Unicode MS"/>
        </w:rP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Fonts w:ascii="Arial Unicode MS" w:eastAsia="Arial Unicode MS" w:hAnsi="Arial Unicode MS" w:cs="Arial Unicode M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C85C85"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Fonts w:ascii="Arial Unicode MS" w:eastAsia="Arial Unicode MS" w:hAnsi="Arial Unicode MS" w:cs="Arial Unicode MS"/>
            </w:rPr>
            <w:t>WIRTGEN GmbH</w:t>
          </w:r>
          <w:r>
            <w:rPr>
              <w:rFonts w:ascii="Arial Unicode MS" w:eastAsia="Arial Unicode MS" w:hAnsi="Arial Unicode MS" w:cs="Arial Unicode MS"/>
            </w:rPr>
            <w:t xml:space="preserve"> · Reinhard-Wirtgen-Str. 2 · D-53578 Windhagen · T: +49 26 45 / 131 0</w:t>
          </w:r>
        </w:p>
      </w:tc>
    </w:tr>
  </w:tbl>
  <w:p w14:paraId="732BEB33"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B96347"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rFonts w:ascii="Arial Unicode MS" w:eastAsia="Arial Unicode MS" w:hAnsi="Arial Unicode MS" w:cs="Arial Unicode MS"/>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rFonts w:ascii="Arial Unicode MS" w:eastAsia="Arial Unicode MS" w:hAnsi="Arial Unicode MS" w:cs="Arial Unicode MS"/>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r>
      <w:rPr>
        <w:rFonts w:ascii="Arial Unicode MS" w:eastAsia="Arial Unicode MS" w:hAnsi="Arial Unicode MS" w:cs="Arial Unicode MS"/>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İŞ RAPORU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İŞ RAPORU</w:t>
                    </w:r>
                  </w:p>
                </w:txbxContent>
              </v:textbox>
            </v:shape>
          </w:pict>
        </mc:Fallback>
      </mc:AlternateContent>
    </w:r>
    <w:r>
      <w:rPr>
        <w:rFonts w:ascii="Arial Unicode MS" w:eastAsia="Arial Unicode MS" w:hAnsi="Arial Unicode MS" w:cs="Arial Unicode MS"/>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rFonts w:ascii="Arial Unicode MS" w:eastAsia="Arial Unicode MS" w:hAnsi="Arial Unicode MS" w:cs="Arial Unicode MS"/>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r>
      <w:rPr>
        <w:rFonts w:ascii="Arial Unicode MS" w:eastAsia="Arial Unicode MS" w:hAnsi="Arial Unicode MS" w:cs="Arial Unicode MS"/>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A26F9"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rFonts w:ascii="Arial Unicode MS" w:eastAsia="Arial Unicode MS" w:hAnsi="Arial Unicode MS" w:cs="Arial Unicode MS"/>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Unicode MS" w:eastAsia="Arial Unicode MS" w:hAnsi="Arial Unicode MS" w:cs="Arial Unicode MS"/>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8E430D"/>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tr-T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tr-TR"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Unicode MS"/>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631</Words>
  <Characters>3976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4598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2021-10-20T14:00:00Z</cp:lastPrinted>
  <dcterms:created xsi:type="dcterms:W3CDTF">2022-07-27T12:46:00Z</dcterms:created>
  <dcterms:modified xsi:type="dcterms:W3CDTF">2022-09-28T07:00:00Z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